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4"/>
        <w:gridCol w:w="2018"/>
        <w:gridCol w:w="1418"/>
        <w:gridCol w:w="1484"/>
        <w:gridCol w:w="1576"/>
        <w:gridCol w:w="1498"/>
      </w:tblGrid>
      <w:tr w:rsidR="003E4BC1" w14:paraId="62B06689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C8AAA" w14:textId="77777777" w:rsidR="003E4BC1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4BC1" w:rsidRPr="008C5C65" w14:paraId="3E10B2FB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A7A4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8C5C65" w:rsidRPr="008C5C65" w14:paraId="33B8D552" w14:textId="77777777" w:rsidTr="003E4BC1">
        <w:trPr>
          <w:trHeight w:val="247"/>
        </w:trPr>
        <w:tc>
          <w:tcPr>
            <w:tcW w:w="3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A8FBB" w14:textId="77777777" w:rsidR="008C5C65" w:rsidRPr="008C5C65" w:rsidRDefault="008C5C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</w:tc>
      </w:tr>
      <w:tr w:rsidR="003E4BC1" w:rsidRPr="008C5C65" w14:paraId="4DDA0CD3" w14:textId="77777777" w:rsidTr="003E4BC1">
        <w:trPr>
          <w:trHeight w:val="247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21AF16D6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550BC670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C8A774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0FCCF525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4E5446A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A7E6449" w14:textId="77777777" w:rsidR="003E4BC1" w:rsidRPr="008C5C65" w:rsidRDefault="003E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412ADF5B" w14:textId="4D66E878" w:rsidR="00173DA5" w:rsidRPr="008C5C65" w:rsidRDefault="003E4BC1">
      <w:pPr>
        <w:rPr>
          <w:rFonts w:cstheme="minorHAnsi"/>
        </w:rPr>
      </w:pPr>
      <w:r w:rsidRPr="008C5C65">
        <w:rPr>
          <w:rFonts w:cstheme="minorHAnsi"/>
        </w:rPr>
        <w:t xml:space="preserve">Na temelju članka 108. </w:t>
      </w:r>
      <w:r w:rsidR="009A72EB" w:rsidRPr="008C5C65">
        <w:rPr>
          <w:rFonts w:cstheme="minorHAnsi"/>
        </w:rPr>
        <w:t>i</w:t>
      </w:r>
      <w:r w:rsidRPr="008C5C65">
        <w:rPr>
          <w:rFonts w:cstheme="minorHAnsi"/>
        </w:rPr>
        <w:t xml:space="preserve"> 10</w:t>
      </w:r>
      <w:r w:rsidR="007B301C" w:rsidRPr="008C5C65">
        <w:rPr>
          <w:rFonts w:cstheme="minorHAnsi"/>
        </w:rPr>
        <w:t>9</w:t>
      </w:r>
      <w:r w:rsidRPr="008C5C65">
        <w:rPr>
          <w:rFonts w:cstheme="minorHAnsi"/>
        </w:rPr>
        <w:t>. Zakona o proračunu (N.N. br. 87/08</w:t>
      </w:r>
      <w:r w:rsidR="009A72EB" w:rsidRPr="008C5C65">
        <w:rPr>
          <w:rFonts w:cstheme="minorHAnsi"/>
        </w:rPr>
        <w:t>,</w:t>
      </w:r>
      <w:r w:rsidRPr="008C5C65">
        <w:rPr>
          <w:rFonts w:cstheme="minorHAnsi"/>
        </w:rPr>
        <w:t xml:space="preserve"> 136/12</w:t>
      </w:r>
      <w:r w:rsidR="009A72EB" w:rsidRPr="008C5C65">
        <w:rPr>
          <w:rFonts w:cstheme="minorHAnsi"/>
        </w:rPr>
        <w:t xml:space="preserve"> i 15/15</w:t>
      </w:r>
      <w:r w:rsidRPr="008C5C65">
        <w:rPr>
          <w:rFonts w:cstheme="minorHAnsi"/>
        </w:rPr>
        <w:t xml:space="preserve">), i članka </w:t>
      </w:r>
      <w:r w:rsidR="00B86859" w:rsidRPr="008C5C65">
        <w:rPr>
          <w:rFonts w:cstheme="minorHAnsi"/>
        </w:rPr>
        <w:t xml:space="preserve">30. </w:t>
      </w:r>
      <w:r w:rsidRPr="008C5C65">
        <w:rPr>
          <w:rFonts w:cstheme="minorHAnsi"/>
        </w:rPr>
        <w:t xml:space="preserve"> Statuta Općine Kijevo (</w:t>
      </w:r>
      <w:r w:rsidR="00173DA5" w:rsidRPr="008C5C65">
        <w:rPr>
          <w:rFonts w:cstheme="minorHAnsi"/>
        </w:rPr>
        <w:t>„</w:t>
      </w:r>
      <w:r w:rsidRPr="008C5C65">
        <w:rPr>
          <w:rFonts w:cstheme="minorHAnsi"/>
        </w:rPr>
        <w:t>Služben</w:t>
      </w:r>
      <w:r w:rsidR="00B86859" w:rsidRPr="008C5C65">
        <w:rPr>
          <w:rFonts w:cstheme="minorHAnsi"/>
        </w:rPr>
        <w:t xml:space="preserve"> glasilo općine Kijevo 15/18</w:t>
      </w:r>
      <w:r w:rsidR="00E40597" w:rsidRPr="008C5C65">
        <w:rPr>
          <w:rFonts w:cstheme="minorHAnsi"/>
        </w:rPr>
        <w:t xml:space="preserve"> i 18/18</w:t>
      </w:r>
      <w:r w:rsidR="00FE2C12" w:rsidRPr="008C5C65">
        <w:rPr>
          <w:rFonts w:cstheme="minorHAnsi"/>
        </w:rPr>
        <w:t xml:space="preserve"> i</w:t>
      </w:r>
      <w:r w:rsidR="0040286C">
        <w:rPr>
          <w:rFonts w:cstheme="minorHAnsi"/>
        </w:rPr>
        <w:t xml:space="preserve"> 26/20</w:t>
      </w:r>
      <w:r w:rsidR="00FE2C12" w:rsidRPr="008C5C65">
        <w:rPr>
          <w:rFonts w:cstheme="minorHAnsi"/>
        </w:rPr>
        <w:t xml:space="preserve"> </w:t>
      </w:r>
      <w:r w:rsidR="00B86859" w:rsidRPr="008C5C65">
        <w:rPr>
          <w:rFonts w:cstheme="minorHAnsi"/>
        </w:rPr>
        <w:t>)</w:t>
      </w:r>
      <w:r w:rsidRPr="008C5C65">
        <w:rPr>
          <w:rFonts w:cstheme="minorHAnsi"/>
        </w:rPr>
        <w:t xml:space="preserve"> </w:t>
      </w:r>
      <w:r w:rsidR="00173DA5" w:rsidRPr="008C5C65">
        <w:rPr>
          <w:rFonts w:cstheme="minorHAnsi"/>
        </w:rPr>
        <w:t xml:space="preserve">Općinsko vijeće općine Kijevo na svojoj </w:t>
      </w:r>
      <w:r w:rsidR="004A1E7B" w:rsidRPr="008C5C65">
        <w:rPr>
          <w:rFonts w:cstheme="minorHAnsi"/>
        </w:rPr>
        <w:t xml:space="preserve"> </w:t>
      </w:r>
      <w:r w:rsidR="0040286C">
        <w:rPr>
          <w:rFonts w:cstheme="minorHAnsi"/>
        </w:rPr>
        <w:t>20</w:t>
      </w:r>
      <w:r w:rsidR="00EC7DCA" w:rsidRPr="008C5C65">
        <w:rPr>
          <w:rFonts w:cstheme="minorHAnsi"/>
        </w:rPr>
        <w:t>.</w:t>
      </w:r>
      <w:r w:rsidR="00173DA5" w:rsidRPr="008C5C65">
        <w:rPr>
          <w:rFonts w:cstheme="minorHAnsi"/>
        </w:rPr>
        <w:t xml:space="preserve"> sjednici održanoj dana</w:t>
      </w:r>
      <w:r w:rsidR="00EC7DCA" w:rsidRPr="008C5C65">
        <w:rPr>
          <w:rFonts w:cstheme="minorHAnsi"/>
        </w:rPr>
        <w:t xml:space="preserve"> </w:t>
      </w:r>
      <w:r w:rsidR="0040286C">
        <w:rPr>
          <w:rFonts w:cstheme="minorHAnsi"/>
        </w:rPr>
        <w:t>22.10.2020</w:t>
      </w:r>
      <w:r w:rsidR="00EC7DCA" w:rsidRPr="008C5C65">
        <w:rPr>
          <w:rFonts w:cstheme="minorHAnsi"/>
        </w:rPr>
        <w:t xml:space="preserve">. godine </w:t>
      </w:r>
      <w:r w:rsidR="00173DA5" w:rsidRPr="008C5C65">
        <w:rPr>
          <w:rFonts w:cstheme="minorHAnsi"/>
        </w:rPr>
        <w:t xml:space="preserve"> do</w:t>
      </w:r>
      <w:r w:rsidR="00E04FF3" w:rsidRPr="008C5C65">
        <w:rPr>
          <w:rFonts w:cstheme="minorHAnsi"/>
        </w:rPr>
        <w:t>n</w:t>
      </w:r>
      <w:r w:rsidR="00173DA5" w:rsidRPr="008C5C65">
        <w:rPr>
          <w:rFonts w:cstheme="minorHAnsi"/>
        </w:rPr>
        <w:t xml:space="preserve">ijelo je </w:t>
      </w:r>
    </w:p>
    <w:p w14:paraId="24C784B2" w14:textId="77777777" w:rsidR="00CC2CF6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POLUGODIŠNJI</w:t>
      </w:r>
    </w:p>
    <w:p w14:paraId="153A63F4" w14:textId="77777777" w:rsidR="00DB51B2" w:rsidRPr="008C5C65" w:rsidRDefault="00173DA5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Izvještaj o  izvršenju Proračuna općine Kijevo</w:t>
      </w:r>
    </w:p>
    <w:p w14:paraId="7C193F75" w14:textId="41D60FEC" w:rsidR="00C60E2C" w:rsidRPr="008C5C65" w:rsidRDefault="00DB51B2" w:rsidP="00A556EC">
      <w:pPr>
        <w:pStyle w:val="Bezproreda"/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z</w:t>
      </w:r>
      <w:r w:rsidR="00173DA5" w:rsidRPr="008C5C65">
        <w:rPr>
          <w:rFonts w:cstheme="minorHAnsi"/>
          <w:b/>
        </w:rPr>
        <w:t>a</w:t>
      </w:r>
      <w:r w:rsidRPr="008C5C65">
        <w:rPr>
          <w:rFonts w:cstheme="minorHAnsi"/>
          <w:b/>
        </w:rPr>
        <w:t xml:space="preserve"> razdoblje </w:t>
      </w:r>
      <w:r w:rsidR="00173DA5" w:rsidRPr="008C5C65">
        <w:rPr>
          <w:rFonts w:cstheme="minorHAnsi"/>
          <w:b/>
        </w:rPr>
        <w:t>I-VI 20</w:t>
      </w:r>
      <w:r w:rsidR="00E40597" w:rsidRPr="008C5C65">
        <w:rPr>
          <w:rFonts w:cstheme="minorHAnsi"/>
          <w:b/>
        </w:rPr>
        <w:t>20</w:t>
      </w:r>
      <w:r w:rsidR="00173DA5" w:rsidRPr="008C5C65">
        <w:rPr>
          <w:rFonts w:cstheme="minorHAnsi"/>
          <w:b/>
        </w:rPr>
        <w:t xml:space="preserve">. </w:t>
      </w:r>
      <w:r w:rsidRPr="008C5C65">
        <w:rPr>
          <w:rFonts w:cstheme="minorHAnsi"/>
          <w:b/>
        </w:rPr>
        <w:t>g</w:t>
      </w:r>
      <w:r w:rsidR="00173DA5" w:rsidRPr="008C5C65">
        <w:rPr>
          <w:rFonts w:cstheme="minorHAnsi"/>
          <w:b/>
        </w:rPr>
        <w:t>odine</w:t>
      </w:r>
    </w:p>
    <w:p w14:paraId="6FA47811" w14:textId="77777777" w:rsidR="00173DA5" w:rsidRPr="008C5C65" w:rsidRDefault="00173D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1.</w:t>
      </w:r>
    </w:p>
    <w:p w14:paraId="139F1B17" w14:textId="77777777" w:rsidR="00173DA5" w:rsidRPr="008C5C65" w:rsidRDefault="00173DA5">
      <w:pPr>
        <w:rPr>
          <w:rFonts w:cstheme="minorHAnsi"/>
        </w:rPr>
      </w:pPr>
      <w:r w:rsidRPr="008C5C65">
        <w:rPr>
          <w:rFonts w:cstheme="minorHAnsi"/>
        </w:rPr>
        <w:t>Polugodišnji izvještaj o izvršenju proračuna Općine Kijevo za 201</w:t>
      </w:r>
      <w:r w:rsidR="00667999" w:rsidRPr="008C5C65">
        <w:rPr>
          <w:rFonts w:cstheme="minorHAnsi"/>
        </w:rPr>
        <w:t>9</w:t>
      </w:r>
      <w:r w:rsidRPr="008C5C65">
        <w:rPr>
          <w:rFonts w:cstheme="minorHAnsi"/>
        </w:rPr>
        <w:t xml:space="preserve">. </w:t>
      </w:r>
      <w:r w:rsidR="00CC2CF6" w:rsidRPr="008C5C65">
        <w:rPr>
          <w:rFonts w:cstheme="minorHAnsi"/>
        </w:rPr>
        <w:t>g</w:t>
      </w:r>
      <w:r w:rsidRPr="008C5C65">
        <w:rPr>
          <w:rFonts w:cstheme="minorHAnsi"/>
        </w:rPr>
        <w:t>odinu sastoji se od :</w:t>
      </w:r>
    </w:p>
    <w:p w14:paraId="59DEFF05" w14:textId="77777777" w:rsidR="00173DA5" w:rsidRPr="008C5C65" w:rsidRDefault="00173DA5" w:rsidP="00173DA5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  <w:b/>
        </w:rPr>
        <w:t>RAČUN PRIHODA I IZDATAKA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3"/>
        <w:gridCol w:w="932"/>
        <w:gridCol w:w="1007"/>
      </w:tblGrid>
      <w:tr w:rsidR="00173DA5" w:rsidRPr="008C5C65" w14:paraId="366E4DC7" w14:textId="77777777" w:rsidTr="00173DA5">
        <w:tc>
          <w:tcPr>
            <w:tcW w:w="3369" w:type="dxa"/>
          </w:tcPr>
          <w:p w14:paraId="5AEA4F7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9F74A3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4EE80756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47533D8A" w14:textId="77777777" w:rsidTr="00173DA5">
        <w:tc>
          <w:tcPr>
            <w:tcW w:w="3369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917"/>
            </w:tblGrid>
            <w:tr w:rsidR="00173DA5" w:rsidRPr="008C5C65" w14:paraId="7A56E9CB" w14:textId="77777777" w:rsidTr="00173DA5"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6691" w:type="dxa"/>
                    <w:tblLook w:val="04A0" w:firstRow="1" w:lastRow="0" w:firstColumn="1" w:lastColumn="0" w:noHBand="0" w:noVBand="1"/>
                  </w:tblPr>
                  <w:tblGrid>
                    <w:gridCol w:w="4565"/>
                    <w:gridCol w:w="2126"/>
                  </w:tblGrid>
                  <w:tr w:rsidR="00173DA5" w:rsidRPr="008C5C65" w14:paraId="77AB320B" w14:textId="77777777" w:rsidTr="00CC2CF6">
                    <w:tc>
                      <w:tcPr>
                        <w:tcW w:w="4565" w:type="dxa"/>
                      </w:tcPr>
                      <w:p w14:paraId="40AA9579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POSLOVANJA</w:t>
                        </w:r>
                      </w:p>
                      <w:p w14:paraId="6B35160D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PRIHODI OD PRODAJE NEF. IMOVINE</w:t>
                        </w:r>
                      </w:p>
                      <w:p w14:paraId="6E9BDB6B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 xml:space="preserve">UKUPNO PRIHODI: 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6C3D8AE2" w14:textId="699302BC" w:rsidR="00E04FF3" w:rsidRPr="008C5C65" w:rsidRDefault="00E04FF3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 xml:space="preserve">             </w:t>
                        </w:r>
                        <w:r w:rsidR="00FE2C12" w:rsidRPr="008C5C65">
                          <w:rPr>
                            <w:rFonts w:cstheme="minorHAnsi"/>
                          </w:rPr>
                          <w:t>1.2</w:t>
                        </w:r>
                        <w:r w:rsidR="00E40597" w:rsidRPr="008C5C65">
                          <w:rPr>
                            <w:rFonts w:cstheme="minorHAnsi"/>
                          </w:rPr>
                          <w:t>41.245</w:t>
                        </w:r>
                      </w:p>
                      <w:p w14:paraId="1005F96A" w14:textId="77777777" w:rsidR="00E04FF3" w:rsidRPr="008C5C65" w:rsidRDefault="009A72EB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0</w:t>
                        </w:r>
                      </w:p>
                      <w:p w14:paraId="503E0DFB" w14:textId="67BB5BEF" w:rsidR="009A72EB" w:rsidRPr="008C5C65" w:rsidRDefault="00FE2C12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1.2</w:t>
                        </w:r>
                        <w:r w:rsidR="00E40597" w:rsidRPr="008C5C65">
                          <w:rPr>
                            <w:rFonts w:cstheme="minorHAnsi"/>
                            <w:b/>
                          </w:rPr>
                          <w:t>41.245</w:t>
                        </w:r>
                      </w:p>
                    </w:tc>
                  </w:tr>
                  <w:tr w:rsidR="00173DA5" w:rsidRPr="008C5C65" w14:paraId="317B4F19" w14:textId="77777777" w:rsidTr="00CC2CF6">
                    <w:tc>
                      <w:tcPr>
                        <w:tcW w:w="4565" w:type="dxa"/>
                      </w:tcPr>
                      <w:p w14:paraId="7DABC45B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POSLOVANJA</w:t>
                        </w:r>
                      </w:p>
                      <w:p w14:paraId="4198DAB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RASHODI ZA NEF. IMOVINU</w:t>
                        </w:r>
                      </w:p>
                      <w:p w14:paraId="200B3124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UKUPNO RASHODI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1C8B9B21" w14:textId="093543EB" w:rsidR="009A72EB" w:rsidRPr="008C5C65" w:rsidRDefault="00E40597" w:rsidP="00E04FF3">
                        <w:pPr>
                          <w:jc w:val="right"/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</w:rPr>
                          <w:t>518.955</w:t>
                        </w:r>
                      </w:p>
                      <w:p w14:paraId="4F78BA07" w14:textId="77777777" w:rsidR="00E04FF3" w:rsidRPr="008C5C65" w:rsidRDefault="00FE2C12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1.</w:t>
                        </w:r>
                        <w:r w:rsidR="00E40597" w:rsidRPr="008C5C65">
                          <w:rPr>
                            <w:rFonts w:cstheme="minorHAnsi"/>
                            <w:b/>
                          </w:rPr>
                          <w:t>169.711</w:t>
                        </w:r>
                      </w:p>
                      <w:p w14:paraId="32CB0493" w14:textId="189A7C09" w:rsidR="00E40597" w:rsidRPr="008C5C65" w:rsidRDefault="00E40597" w:rsidP="00E04FF3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1.688.666</w:t>
                        </w:r>
                      </w:p>
                    </w:tc>
                  </w:tr>
                  <w:tr w:rsidR="00173DA5" w:rsidRPr="008C5C65" w14:paraId="3C85F913" w14:textId="77777777" w:rsidTr="00CC2CF6">
                    <w:tc>
                      <w:tcPr>
                        <w:tcW w:w="4565" w:type="dxa"/>
                      </w:tcPr>
                      <w:p w14:paraId="629647CC" w14:textId="77777777" w:rsidR="00173DA5" w:rsidRPr="008C5C65" w:rsidRDefault="00173DA5" w:rsidP="00173DA5">
                        <w:pPr>
                          <w:rPr>
                            <w:rFonts w:cstheme="minorHAnsi"/>
                            <w:b/>
                          </w:rPr>
                        </w:pPr>
                      </w:p>
                      <w:p w14:paraId="3A4D5585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RAZLIKA – VIŠAK/MANJAK</w:t>
                        </w:r>
                        <w:r w:rsidRPr="008C5C65">
                          <w:rPr>
                            <w:rFonts w:cstheme="min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43D6A52F" w14:textId="77777777" w:rsidR="00173DA5" w:rsidRPr="008C5C65" w:rsidRDefault="00173DA5" w:rsidP="00173DA5">
                        <w:pPr>
                          <w:rPr>
                            <w:rFonts w:cstheme="minorHAnsi"/>
                          </w:rPr>
                        </w:pPr>
                      </w:p>
                      <w:p w14:paraId="1C8BDC0F" w14:textId="5FE495D7" w:rsidR="00E04FF3" w:rsidRPr="008C5C65" w:rsidRDefault="00E40597" w:rsidP="00AD5EA7">
                        <w:pPr>
                          <w:jc w:val="right"/>
                          <w:rPr>
                            <w:rFonts w:cstheme="minorHAnsi"/>
                            <w:b/>
                          </w:rPr>
                        </w:pPr>
                        <w:r w:rsidRPr="008C5C65">
                          <w:rPr>
                            <w:rFonts w:cstheme="minorHAnsi"/>
                            <w:b/>
                          </w:rPr>
                          <w:t>447.421</w:t>
                        </w:r>
                      </w:p>
                    </w:tc>
                  </w:tr>
                </w:tbl>
                <w:p w14:paraId="7AB12EA2" w14:textId="77777777" w:rsidR="00173DA5" w:rsidRPr="008C5C65" w:rsidRDefault="00173DA5" w:rsidP="00173DA5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354152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7BBC04C7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77104C7D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  <w:tr w:rsidR="00173DA5" w:rsidRPr="008C5C65" w14:paraId="5E668CAA" w14:textId="77777777" w:rsidTr="00173DA5">
        <w:tc>
          <w:tcPr>
            <w:tcW w:w="3369" w:type="dxa"/>
          </w:tcPr>
          <w:p w14:paraId="5F6CA0C9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823" w:type="dxa"/>
          </w:tcPr>
          <w:p w14:paraId="65612E10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3096" w:type="dxa"/>
          </w:tcPr>
          <w:p w14:paraId="5C30FCFE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</w:tr>
    </w:tbl>
    <w:p w14:paraId="1F2F4148" w14:textId="77777777" w:rsidR="00173DA5" w:rsidRPr="008C5C65" w:rsidRDefault="00173DA5" w:rsidP="00E04FF3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8C5C65">
        <w:rPr>
          <w:rFonts w:cstheme="minorHAnsi"/>
        </w:rPr>
        <w:t xml:space="preserve"> </w:t>
      </w:r>
      <w:r w:rsidRPr="008C5C65">
        <w:rPr>
          <w:rFonts w:cstheme="minorHAnsi"/>
          <w:b/>
        </w:rPr>
        <w:t>RAČUN ZADUŽIVANJA/FINANCIRANJA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2F0572D8" w14:textId="77777777" w:rsidTr="00173DA5">
        <w:tc>
          <w:tcPr>
            <w:tcW w:w="4644" w:type="dxa"/>
          </w:tcPr>
          <w:p w14:paraId="72E833BB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51157F33" w14:textId="77777777" w:rsidR="00173DA5" w:rsidRPr="008C5C65" w:rsidRDefault="00173DA5" w:rsidP="00173D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PRIMICI OD FINANC.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IMOVINE I ZADUŽIVANJA</w:t>
            </w:r>
          </w:p>
          <w:p w14:paraId="40BDA184" w14:textId="77777777" w:rsidR="00173DA5" w:rsidRPr="008C5C65" w:rsidRDefault="00173DA5" w:rsidP="00173DA5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EA2490" w14:textId="77777777" w:rsidR="00173DA5" w:rsidRPr="008C5C65" w:rsidRDefault="00173DA5" w:rsidP="00173DA5">
            <w:pPr>
              <w:rPr>
                <w:rFonts w:cstheme="minorHAnsi"/>
              </w:rPr>
            </w:pPr>
          </w:p>
          <w:p w14:paraId="42897976" w14:textId="77777777" w:rsidR="00E04FF3" w:rsidRPr="008C5C65" w:rsidRDefault="009A72EB" w:rsidP="00150A88">
            <w:pPr>
              <w:jc w:val="right"/>
              <w:rPr>
                <w:rFonts w:cstheme="minorHAnsi"/>
              </w:rPr>
            </w:pPr>
            <w:r w:rsidRPr="008C5C65">
              <w:rPr>
                <w:rFonts w:cstheme="minorHAnsi"/>
              </w:rPr>
              <w:t>0</w:t>
            </w:r>
          </w:p>
        </w:tc>
      </w:tr>
      <w:tr w:rsidR="00173DA5" w:rsidRPr="008C5C65" w14:paraId="0169C5F8" w14:textId="77777777" w:rsidTr="00173DA5">
        <w:tc>
          <w:tcPr>
            <w:tcW w:w="4644" w:type="dxa"/>
          </w:tcPr>
          <w:p w14:paraId="7F138D2D" w14:textId="77777777" w:rsidR="00173DA5" w:rsidRPr="008C5C65" w:rsidRDefault="00173DA5" w:rsidP="00150A88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IZDACI ZA FINANC. IMOVINU I OTPLATE</w:t>
            </w:r>
            <w:r w:rsidR="00150A88" w:rsidRPr="008C5C65">
              <w:rPr>
                <w:rFonts w:cstheme="minorHAnsi"/>
              </w:rPr>
              <w:t xml:space="preserve"> </w:t>
            </w:r>
            <w:r w:rsidRPr="008C5C65">
              <w:rPr>
                <w:rFonts w:cstheme="minorHAnsi"/>
              </w:rPr>
              <w:t>ZAJMOVA</w:t>
            </w:r>
          </w:p>
        </w:tc>
        <w:tc>
          <w:tcPr>
            <w:tcW w:w="2268" w:type="dxa"/>
          </w:tcPr>
          <w:p w14:paraId="2C1BE6D8" w14:textId="77777777" w:rsidR="00150A88" w:rsidRPr="008C5C65" w:rsidRDefault="00150A88" w:rsidP="00173DA5">
            <w:pPr>
              <w:rPr>
                <w:rFonts w:cstheme="minorHAnsi"/>
              </w:rPr>
            </w:pPr>
          </w:p>
          <w:p w14:paraId="4573AABC" w14:textId="77777777" w:rsidR="00173DA5" w:rsidRPr="008C5C65" w:rsidRDefault="00A556EC" w:rsidP="006B73B7">
            <w:pPr>
              <w:jc w:val="right"/>
              <w:rPr>
                <w:rFonts w:cstheme="minorHAnsi"/>
              </w:rPr>
            </w:pPr>
            <w:r w:rsidRPr="008C5C65">
              <w:rPr>
                <w:rFonts w:cstheme="minorHAnsi"/>
              </w:rPr>
              <w:t>0</w:t>
            </w:r>
          </w:p>
        </w:tc>
      </w:tr>
      <w:tr w:rsidR="00173DA5" w:rsidRPr="008C5C65" w14:paraId="7A8DA663" w14:textId="77777777" w:rsidTr="00173DA5">
        <w:tc>
          <w:tcPr>
            <w:tcW w:w="4644" w:type="dxa"/>
          </w:tcPr>
          <w:p w14:paraId="51DC5C23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0DC78888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  <w:r w:rsidRPr="008C5C65">
              <w:rPr>
                <w:rFonts w:cstheme="minorHAnsi"/>
                <w:b/>
              </w:rPr>
              <w:t xml:space="preserve">NETO ZADUŽIVANJE /FINANCIRANJE </w:t>
            </w:r>
          </w:p>
        </w:tc>
        <w:tc>
          <w:tcPr>
            <w:tcW w:w="2268" w:type="dxa"/>
          </w:tcPr>
          <w:p w14:paraId="3ACD71DE" w14:textId="77777777" w:rsidR="00173DA5" w:rsidRPr="008C5C65" w:rsidRDefault="00173DA5" w:rsidP="00173DA5">
            <w:pPr>
              <w:rPr>
                <w:rFonts w:cstheme="minorHAnsi"/>
                <w:b/>
              </w:rPr>
            </w:pPr>
          </w:p>
          <w:p w14:paraId="76962EC8" w14:textId="77777777" w:rsidR="00150A88" w:rsidRPr="008C5C65" w:rsidRDefault="00A556EC" w:rsidP="00150A88">
            <w:pPr>
              <w:jc w:val="right"/>
              <w:rPr>
                <w:rFonts w:cstheme="minorHAnsi"/>
                <w:b/>
              </w:rPr>
            </w:pPr>
            <w:r w:rsidRPr="008C5C65">
              <w:rPr>
                <w:rFonts w:cstheme="minorHAnsi"/>
                <w:b/>
              </w:rPr>
              <w:t>0</w:t>
            </w:r>
          </w:p>
        </w:tc>
      </w:tr>
    </w:tbl>
    <w:p w14:paraId="3E4045C8" w14:textId="77777777" w:rsidR="00A765A5" w:rsidRPr="008C5C65" w:rsidRDefault="00A765A5" w:rsidP="00A765A5">
      <w:pPr>
        <w:pStyle w:val="Odlomakpopisa"/>
        <w:numPr>
          <w:ilvl w:val="0"/>
          <w:numId w:val="1"/>
        </w:numPr>
        <w:rPr>
          <w:rFonts w:cstheme="minorHAnsi"/>
        </w:rPr>
      </w:pPr>
      <w:r w:rsidRPr="008C5C65">
        <w:rPr>
          <w:rFonts w:cstheme="minorHAnsi"/>
        </w:rPr>
        <w:t>REZULTAT</w:t>
      </w:r>
      <w:r w:rsidR="005E2BCF" w:rsidRPr="008C5C65">
        <w:rPr>
          <w:rFonts w:cstheme="minorHAnsi"/>
        </w:rPr>
        <w:t xml:space="preserve"> </w:t>
      </w:r>
      <w:r w:rsidR="00694AB4" w:rsidRPr="008C5C65">
        <w:rPr>
          <w:rFonts w:cstheme="minorHAnsi"/>
        </w:rPr>
        <w:t xml:space="preserve"> NA DAN 30.06.201</w:t>
      </w:r>
      <w:r w:rsidR="00B86859" w:rsidRPr="008C5C65">
        <w:rPr>
          <w:rFonts w:cstheme="minorHAnsi"/>
        </w:rPr>
        <w:t>8</w:t>
      </w:r>
      <w:r w:rsidR="00694AB4" w:rsidRPr="008C5C65">
        <w:rPr>
          <w:rFonts w:cstheme="minorHAnsi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2268"/>
      </w:tblGrid>
      <w:tr w:rsidR="00173DA5" w:rsidRPr="008C5C65" w14:paraId="106F06DD" w14:textId="77777777" w:rsidTr="00173DA5">
        <w:tc>
          <w:tcPr>
            <w:tcW w:w="4644" w:type="dxa"/>
          </w:tcPr>
          <w:p w14:paraId="42C1D2A3" w14:textId="77777777" w:rsidR="005E2BCF" w:rsidRPr="008C5C65" w:rsidRDefault="005E2BCF" w:rsidP="00A765A5">
            <w:pPr>
              <w:rPr>
                <w:rFonts w:cstheme="minorHAnsi"/>
              </w:rPr>
            </w:pPr>
          </w:p>
          <w:p w14:paraId="20BA8DE9" w14:textId="4AD73339" w:rsidR="009A72EB" w:rsidRPr="008C5C65" w:rsidRDefault="00E40597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MANJAK</w:t>
            </w:r>
            <w:r w:rsidR="005E2BCF" w:rsidRPr="008C5C65">
              <w:rPr>
                <w:rFonts w:cstheme="minorHAnsi"/>
              </w:rPr>
              <w:t xml:space="preserve"> PRIHODA</w:t>
            </w:r>
          </w:p>
          <w:p w14:paraId="2FE2DD31" w14:textId="77777777" w:rsidR="00694AB4" w:rsidRPr="008C5C65" w:rsidRDefault="009A72EB" w:rsidP="00A765A5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- </w:t>
            </w:r>
            <w:r w:rsidR="005E2BCF" w:rsidRPr="008C5C65">
              <w:rPr>
                <w:rFonts w:cstheme="minorHAnsi"/>
              </w:rPr>
              <w:t xml:space="preserve">NETO ZADUŽIVANJE  </w:t>
            </w:r>
          </w:p>
          <w:p w14:paraId="48ABB351" w14:textId="77777777" w:rsidR="00E40597" w:rsidRPr="008C5C65" w:rsidRDefault="005E2BCF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>UKUPNO</w:t>
            </w:r>
            <w:r w:rsidR="009A72EB" w:rsidRPr="008C5C65">
              <w:rPr>
                <w:rFonts w:cstheme="minorHAnsi"/>
              </w:rPr>
              <w:t xml:space="preserve">: </w:t>
            </w:r>
          </w:p>
          <w:p w14:paraId="2D4C6776" w14:textId="5B00CC55" w:rsidR="00173DA5" w:rsidRPr="008C5C65" w:rsidRDefault="009A72EB" w:rsidP="00A556EC">
            <w:pPr>
              <w:rPr>
                <w:rFonts w:cstheme="minorHAnsi"/>
              </w:rPr>
            </w:pPr>
            <w:r w:rsidRPr="008C5C65">
              <w:rPr>
                <w:rFonts w:cstheme="minorHAnsi"/>
              </w:rPr>
              <w:t xml:space="preserve"> </w:t>
            </w:r>
            <w:r w:rsidR="005E2BCF" w:rsidRPr="008C5C65">
              <w:rPr>
                <w:rFonts w:cstheme="minorHAnsi"/>
              </w:rPr>
              <w:t xml:space="preserve">   </w:t>
            </w:r>
          </w:p>
        </w:tc>
        <w:tc>
          <w:tcPr>
            <w:tcW w:w="2268" w:type="dxa"/>
          </w:tcPr>
          <w:p w14:paraId="6729D85B" w14:textId="77777777" w:rsidR="00694AB4" w:rsidRPr="008C5C65" w:rsidRDefault="00694AB4" w:rsidP="00694A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578CE4" w14:textId="755BCB47" w:rsidR="009A72EB" w:rsidRPr="008C5C65" w:rsidRDefault="00E40597" w:rsidP="00364EB2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65">
              <w:rPr>
                <w:rFonts w:asciiTheme="minorHAnsi" w:hAnsiTheme="minorHAnsi" w:cstheme="minorHAnsi"/>
                <w:b/>
                <w:sz w:val="22"/>
                <w:szCs w:val="22"/>
              </w:rPr>
              <w:t>447.421</w:t>
            </w:r>
          </w:p>
          <w:p w14:paraId="10BFBDDF" w14:textId="26E3C099" w:rsidR="00E40597" w:rsidRPr="008C5C65" w:rsidRDefault="00E4059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6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  <w:p w14:paraId="65ECFC7A" w14:textId="0A6063FC" w:rsidR="00E40597" w:rsidRPr="008C5C65" w:rsidRDefault="00E4059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5C65">
              <w:rPr>
                <w:rFonts w:asciiTheme="minorHAnsi" w:hAnsiTheme="minorHAnsi" w:cstheme="minorHAnsi"/>
                <w:b/>
                <w:sz w:val="22"/>
                <w:szCs w:val="22"/>
              </w:rPr>
              <w:t>447.421</w:t>
            </w:r>
          </w:p>
          <w:p w14:paraId="46C50C20" w14:textId="2EE86914" w:rsidR="006B73B7" w:rsidRPr="008C5C65" w:rsidRDefault="006B73B7" w:rsidP="00A556EC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E66FA98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1FA856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2.</w:t>
      </w:r>
    </w:p>
    <w:p w14:paraId="1808C987" w14:textId="654D6E49" w:rsidR="005E2BCF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Za razdoblje siječanj-lipanj 201</w:t>
      </w:r>
      <w:r w:rsidR="00FE2C12" w:rsidRPr="008C5C65">
        <w:rPr>
          <w:rFonts w:cstheme="minorHAnsi"/>
        </w:rPr>
        <w:t>9</w:t>
      </w:r>
      <w:r w:rsidRPr="008C5C65">
        <w:rPr>
          <w:rFonts w:cstheme="minorHAnsi"/>
        </w:rPr>
        <w:t xml:space="preserve">. </w:t>
      </w:r>
      <w:r w:rsidR="005E2BCF" w:rsidRPr="008C5C65">
        <w:rPr>
          <w:rFonts w:cstheme="minorHAnsi"/>
        </w:rPr>
        <w:t>g</w:t>
      </w:r>
      <w:r w:rsidRPr="008C5C65">
        <w:rPr>
          <w:rFonts w:cstheme="minorHAnsi"/>
        </w:rPr>
        <w:t>odine u</w:t>
      </w:r>
      <w:r w:rsidR="00E04056" w:rsidRPr="008C5C65">
        <w:rPr>
          <w:rFonts w:cstheme="minorHAnsi"/>
        </w:rPr>
        <w:t>t</w:t>
      </w:r>
      <w:r w:rsidRPr="008C5C65">
        <w:rPr>
          <w:rFonts w:cstheme="minorHAnsi"/>
        </w:rPr>
        <w:t xml:space="preserve">vrđen </w:t>
      </w:r>
      <w:r w:rsidR="00E04056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je </w:t>
      </w:r>
      <w:r w:rsidR="008C5C65" w:rsidRPr="008C5C65">
        <w:rPr>
          <w:rFonts w:cstheme="minorHAnsi"/>
        </w:rPr>
        <w:t>manjak</w:t>
      </w:r>
      <w:r w:rsidRPr="008C5C65">
        <w:rPr>
          <w:rFonts w:cstheme="minorHAnsi"/>
        </w:rPr>
        <w:t xml:space="preserve"> prihoda  u iznosu od </w:t>
      </w:r>
      <w:r w:rsidR="00F51B8D" w:rsidRPr="008C5C65">
        <w:rPr>
          <w:rFonts w:cstheme="minorHAnsi"/>
        </w:rPr>
        <w:t xml:space="preserve"> </w:t>
      </w:r>
      <w:r w:rsidR="008C5C65" w:rsidRPr="008C5C65">
        <w:rPr>
          <w:rFonts w:cstheme="minorHAnsi"/>
        </w:rPr>
        <w:t>447.421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>kn</w:t>
      </w:r>
      <w:r w:rsidR="005E2BCF" w:rsidRPr="008C5C65">
        <w:rPr>
          <w:rFonts w:cstheme="minorHAnsi"/>
        </w:rPr>
        <w:t xml:space="preserve"> </w:t>
      </w:r>
      <w:r w:rsidR="00A556EC" w:rsidRPr="008C5C65">
        <w:rPr>
          <w:rFonts w:cstheme="minorHAnsi"/>
        </w:rPr>
        <w:t xml:space="preserve"> </w:t>
      </w:r>
      <w:r w:rsidR="005E2BCF" w:rsidRPr="008C5C65">
        <w:rPr>
          <w:rFonts w:cstheme="minorHAnsi"/>
        </w:rPr>
        <w:t xml:space="preserve">.   </w:t>
      </w:r>
    </w:p>
    <w:p w14:paraId="2427F46B" w14:textId="77777777" w:rsidR="00A556EC" w:rsidRPr="008C5C65" w:rsidRDefault="00A556EC" w:rsidP="00CC2CF6">
      <w:pPr>
        <w:jc w:val="center"/>
        <w:rPr>
          <w:rFonts w:cstheme="minorHAnsi"/>
          <w:b/>
        </w:rPr>
      </w:pPr>
    </w:p>
    <w:p w14:paraId="2BD88570" w14:textId="77777777" w:rsidR="00A765A5" w:rsidRPr="008C5C65" w:rsidRDefault="00A765A5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3.</w:t>
      </w:r>
    </w:p>
    <w:p w14:paraId="2C83E7FD" w14:textId="0EA3053F" w:rsidR="00A765A5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lastRenderedPageBreak/>
        <w:t>Ostvarenje Proračuna Općine Kijevo za razdoblje siječanj – lipanj 20</w:t>
      </w:r>
      <w:r w:rsidR="00E40597" w:rsidRPr="008C5C65">
        <w:rPr>
          <w:rFonts w:cstheme="minorHAnsi"/>
        </w:rPr>
        <w:t>20</w:t>
      </w:r>
      <w:r w:rsidRPr="008C5C65">
        <w:rPr>
          <w:rFonts w:cstheme="minorHAnsi"/>
        </w:rPr>
        <w:t xml:space="preserve">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>odine  utvrđuje se kako slijedi:</w:t>
      </w:r>
    </w:p>
    <w:p w14:paraId="5B67A7A1" w14:textId="123D2E7F" w:rsidR="00A765A5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 xml:space="preserve">Ukupni prihodi </w:t>
      </w:r>
      <w:r w:rsidR="006A12B7" w:rsidRPr="008C5C65">
        <w:rPr>
          <w:rFonts w:cstheme="minorHAnsi"/>
        </w:rPr>
        <w:t>poslovanja</w:t>
      </w:r>
      <w:r w:rsidRPr="008C5C65">
        <w:rPr>
          <w:rFonts w:cstheme="minorHAnsi"/>
        </w:rPr>
        <w:t xml:space="preserve"> ostvareni su u svoti od</w:t>
      </w:r>
      <w:r w:rsidR="00F51B8D" w:rsidRPr="008C5C65">
        <w:rPr>
          <w:rFonts w:cstheme="minorHAnsi"/>
        </w:rPr>
        <w:t xml:space="preserve"> </w:t>
      </w:r>
      <w:r w:rsidR="00FE2C12" w:rsidRPr="008C5C65">
        <w:rPr>
          <w:rFonts w:cstheme="minorHAnsi"/>
        </w:rPr>
        <w:t>1.2</w:t>
      </w:r>
      <w:r w:rsidR="00E40597" w:rsidRPr="008C5C65">
        <w:rPr>
          <w:rFonts w:cstheme="minorHAnsi"/>
        </w:rPr>
        <w:t>41.245</w:t>
      </w:r>
      <w:r w:rsidRPr="008C5C65">
        <w:rPr>
          <w:rFonts w:cstheme="minorHAnsi"/>
        </w:rPr>
        <w:t xml:space="preserve"> kn što predstavlja </w:t>
      </w:r>
      <w:r w:rsidR="00FE2C12" w:rsidRPr="008C5C65">
        <w:rPr>
          <w:rFonts w:cstheme="minorHAnsi"/>
        </w:rPr>
        <w:t>4</w:t>
      </w:r>
      <w:r w:rsidR="00E40597" w:rsidRPr="008C5C65">
        <w:rPr>
          <w:rFonts w:cstheme="minorHAnsi"/>
        </w:rPr>
        <w:t>7,82</w:t>
      </w:r>
      <w:r w:rsidR="00F51B8D"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%</w:t>
      </w:r>
      <w:r w:rsidRPr="008C5C65">
        <w:rPr>
          <w:rFonts w:cstheme="minorHAnsi"/>
        </w:rPr>
        <w:t xml:space="preserve">  planiranog iznosa.</w:t>
      </w:r>
    </w:p>
    <w:p w14:paraId="3296B9B5" w14:textId="7471661B" w:rsidR="006A12B7" w:rsidRPr="008C5C6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Ukupni rashodi</w:t>
      </w:r>
      <w:r w:rsidR="006A12B7" w:rsidRPr="008C5C65">
        <w:rPr>
          <w:rFonts w:cstheme="minorHAnsi"/>
        </w:rPr>
        <w:t xml:space="preserve"> poslovanja  </w:t>
      </w:r>
      <w:r w:rsidRPr="008C5C65">
        <w:rPr>
          <w:rFonts w:cstheme="minorHAnsi"/>
        </w:rPr>
        <w:t xml:space="preserve"> izvršeni su u svoti od </w:t>
      </w:r>
      <w:r w:rsidR="00F51B8D" w:rsidRPr="008C5C65">
        <w:rPr>
          <w:rFonts w:cstheme="minorHAnsi"/>
        </w:rPr>
        <w:t xml:space="preserve"> </w:t>
      </w:r>
      <w:r w:rsidR="00E40597" w:rsidRPr="008C5C65">
        <w:rPr>
          <w:rFonts w:cstheme="minorHAnsi"/>
        </w:rPr>
        <w:t>518</w:t>
      </w:r>
      <w:r w:rsidR="00FE2C12" w:rsidRPr="008C5C65">
        <w:rPr>
          <w:rFonts w:cstheme="minorHAnsi"/>
        </w:rPr>
        <w:t>.</w:t>
      </w:r>
      <w:r w:rsidR="00E40597" w:rsidRPr="008C5C65">
        <w:rPr>
          <w:rFonts w:cstheme="minorHAnsi"/>
        </w:rPr>
        <w:t>955</w:t>
      </w:r>
      <w:r w:rsidR="00F51B8D" w:rsidRPr="008C5C65">
        <w:rPr>
          <w:rFonts w:cstheme="minorHAnsi"/>
        </w:rPr>
        <w:t xml:space="preserve"> kn </w:t>
      </w:r>
      <w:r w:rsidRPr="008C5C65">
        <w:rPr>
          <w:rFonts w:cstheme="minorHAnsi"/>
        </w:rPr>
        <w:t xml:space="preserve"> što predstavlja </w:t>
      </w:r>
      <w:r w:rsidR="00E40597" w:rsidRPr="008C5C65">
        <w:rPr>
          <w:rFonts w:cstheme="minorHAnsi"/>
        </w:rPr>
        <w:t>59,89</w:t>
      </w:r>
      <w:r w:rsidR="00F51B8D"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%</w:t>
      </w:r>
      <w:r w:rsidRPr="008C5C65">
        <w:rPr>
          <w:rFonts w:cstheme="minorHAnsi"/>
        </w:rPr>
        <w:t xml:space="preserve"> </w:t>
      </w:r>
      <w:r w:rsidR="006A12B7" w:rsidRPr="008C5C65">
        <w:rPr>
          <w:rFonts w:cstheme="minorHAnsi"/>
        </w:rPr>
        <w:t>planiranog iznosa</w:t>
      </w:r>
    </w:p>
    <w:p w14:paraId="1F621C9C" w14:textId="00E72224" w:rsidR="008C5C65" w:rsidRPr="008C5C65" w:rsidRDefault="00A765A5" w:rsidP="008C5C65">
      <w:pPr>
        <w:rPr>
          <w:rFonts w:cstheme="minorHAnsi"/>
        </w:rPr>
      </w:pPr>
      <w:r w:rsidRPr="008C5C65">
        <w:rPr>
          <w:rFonts w:cstheme="minorHAnsi"/>
        </w:rPr>
        <w:t>Razlika između ostvarenih prihoda i ostvarenih izdataka Proračuna Općine Kijevo za razdoblje siječanj – lipanj 20</w:t>
      </w:r>
      <w:r w:rsidR="00E40597" w:rsidRPr="008C5C65">
        <w:rPr>
          <w:rFonts w:cstheme="minorHAnsi"/>
        </w:rPr>
        <w:t>20</w:t>
      </w:r>
      <w:r w:rsidRPr="008C5C65">
        <w:rPr>
          <w:rFonts w:cstheme="minorHAnsi"/>
        </w:rPr>
        <w:t xml:space="preserve">. </w:t>
      </w:r>
      <w:r w:rsidR="00E04056" w:rsidRPr="008C5C65">
        <w:rPr>
          <w:rFonts w:cstheme="minorHAnsi"/>
        </w:rPr>
        <w:t>g</w:t>
      </w:r>
      <w:r w:rsidRPr="008C5C65">
        <w:rPr>
          <w:rFonts w:cstheme="minorHAnsi"/>
        </w:rPr>
        <w:t xml:space="preserve">odine iznosi </w:t>
      </w:r>
      <w:r w:rsidR="00F30F79" w:rsidRPr="008C5C65">
        <w:rPr>
          <w:rFonts w:cstheme="minorHAnsi"/>
        </w:rPr>
        <w:t xml:space="preserve"> </w:t>
      </w:r>
      <w:r w:rsidR="008C5C65" w:rsidRPr="008C5C65">
        <w:rPr>
          <w:rFonts w:cstheme="minorHAnsi"/>
        </w:rPr>
        <w:t xml:space="preserve">447.421 </w:t>
      </w:r>
      <w:r w:rsidR="00F51B8D" w:rsidRPr="008C5C65">
        <w:rPr>
          <w:rFonts w:cstheme="minorHAnsi"/>
        </w:rPr>
        <w:t>k</w:t>
      </w:r>
      <w:r w:rsidR="00F30F79" w:rsidRPr="008C5C65">
        <w:rPr>
          <w:rFonts w:cstheme="minorHAnsi"/>
        </w:rPr>
        <w:t>n</w:t>
      </w:r>
      <w:r w:rsidRPr="008C5C65">
        <w:rPr>
          <w:rFonts w:cstheme="minorHAnsi"/>
        </w:rPr>
        <w:t xml:space="preserve"> što predstavlja</w:t>
      </w:r>
      <w:r w:rsidR="00F30F79" w:rsidRPr="008C5C65">
        <w:rPr>
          <w:rFonts w:cstheme="minorHAnsi"/>
        </w:rPr>
        <w:t xml:space="preserve"> </w:t>
      </w:r>
      <w:r w:rsidR="008C5C65" w:rsidRPr="008C5C65">
        <w:rPr>
          <w:rFonts w:cstheme="minorHAnsi"/>
        </w:rPr>
        <w:t>negativan</w:t>
      </w:r>
      <w:r w:rsidRPr="008C5C65">
        <w:rPr>
          <w:rFonts w:cstheme="minorHAnsi"/>
        </w:rPr>
        <w:t xml:space="preserve">  </w:t>
      </w:r>
      <w:r w:rsidR="00F30F79" w:rsidRPr="008C5C65">
        <w:rPr>
          <w:rFonts w:cstheme="minorHAnsi"/>
        </w:rPr>
        <w:t>f</w:t>
      </w:r>
      <w:r w:rsidRPr="008C5C65">
        <w:rPr>
          <w:rFonts w:cstheme="minorHAnsi"/>
        </w:rPr>
        <w:t>inancijski rezultat, o</w:t>
      </w:r>
      <w:r w:rsidR="00E04056" w:rsidRPr="008C5C65">
        <w:rPr>
          <w:rFonts w:cstheme="minorHAnsi"/>
        </w:rPr>
        <w:t xml:space="preserve">dnosno </w:t>
      </w:r>
      <w:r w:rsidRPr="008C5C65">
        <w:rPr>
          <w:rFonts w:cstheme="minorHAnsi"/>
        </w:rPr>
        <w:t xml:space="preserve"> </w:t>
      </w:r>
      <w:r w:rsidR="008C5C65" w:rsidRPr="008C5C65">
        <w:rPr>
          <w:rFonts w:cstheme="minorHAnsi"/>
        </w:rPr>
        <w:t>manjak prihoda nad</w:t>
      </w:r>
      <w:r w:rsidR="00F30F79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rashodima.</w:t>
      </w:r>
      <w:r w:rsidR="008C5C65" w:rsidRPr="008C5C65">
        <w:rPr>
          <w:rFonts w:cstheme="minorHAnsi"/>
        </w:rPr>
        <w:t xml:space="preserve"> Manjak prihoda se odnosi na isplatu okončane situacije za asfaltiranje nerazvrstanih cesta gdje smo morali platiti kompletne radove a još uvijek nismo dobili sredstva ugovorena sa APPRRR-om. </w:t>
      </w:r>
    </w:p>
    <w:p w14:paraId="6EA7E216" w14:textId="4FD45232" w:rsidR="00A765A5" w:rsidRPr="008C5C65" w:rsidRDefault="00A765A5" w:rsidP="008C5C65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Članak 4.</w:t>
      </w:r>
    </w:p>
    <w:p w14:paraId="39994D65" w14:textId="63B0C4CE" w:rsidR="00A765A5" w:rsidRDefault="00A765A5" w:rsidP="00173DA5">
      <w:pPr>
        <w:rPr>
          <w:rFonts w:cstheme="minorHAnsi"/>
        </w:rPr>
      </w:pPr>
      <w:r w:rsidRPr="008C5C65">
        <w:rPr>
          <w:rFonts w:cstheme="minorHAnsi"/>
        </w:rPr>
        <w:t>Stanje novčanih sredstava na dan 01.01</w:t>
      </w:r>
      <w:r w:rsidR="00A64FFD" w:rsidRPr="008C5C65">
        <w:rPr>
          <w:rFonts w:cstheme="minorHAnsi"/>
        </w:rPr>
        <w:t>.</w:t>
      </w:r>
      <w:r w:rsidRPr="008C5C65">
        <w:rPr>
          <w:rFonts w:cstheme="minorHAnsi"/>
        </w:rPr>
        <w:t>20</w:t>
      </w:r>
      <w:r w:rsidR="008C5C65" w:rsidRPr="008C5C65">
        <w:rPr>
          <w:rFonts w:cstheme="minorHAnsi"/>
        </w:rPr>
        <w:t>20</w:t>
      </w:r>
      <w:r w:rsidRPr="008C5C65">
        <w:rPr>
          <w:rFonts w:cstheme="minorHAnsi"/>
        </w:rPr>
        <w:t xml:space="preserve"> .</w:t>
      </w:r>
      <w:r w:rsidR="00B86859" w:rsidRPr="008C5C65">
        <w:rPr>
          <w:rFonts w:cstheme="minorHAnsi"/>
        </w:rPr>
        <w:t xml:space="preserve"> godine</w:t>
      </w:r>
      <w:r w:rsidRPr="008C5C65">
        <w:rPr>
          <w:rFonts w:cstheme="minorHAnsi"/>
        </w:rPr>
        <w:t xml:space="preserve"> bilo je </w:t>
      </w:r>
      <w:r w:rsidR="00FE2C12" w:rsidRPr="008C5C65">
        <w:rPr>
          <w:rFonts w:cstheme="minorHAnsi"/>
        </w:rPr>
        <w:t>5</w:t>
      </w:r>
      <w:r w:rsidR="008C5C65" w:rsidRPr="008C5C65">
        <w:rPr>
          <w:rFonts w:cstheme="minorHAnsi"/>
        </w:rPr>
        <w:t>08.975</w:t>
      </w:r>
      <w:r w:rsidR="004C54DF" w:rsidRPr="008C5C65">
        <w:rPr>
          <w:rFonts w:cstheme="minorHAnsi"/>
        </w:rPr>
        <w:t xml:space="preserve"> </w:t>
      </w:r>
      <w:r w:rsidR="00F30F79" w:rsidRPr="008C5C65">
        <w:rPr>
          <w:rFonts w:cstheme="minorHAnsi"/>
        </w:rPr>
        <w:t xml:space="preserve"> kn </w:t>
      </w:r>
      <w:r w:rsidRPr="008C5C65">
        <w:rPr>
          <w:rFonts w:cstheme="minorHAnsi"/>
        </w:rPr>
        <w:t xml:space="preserve"> a na dan 30.06.20</w:t>
      </w:r>
      <w:r w:rsidR="008C5C65" w:rsidRPr="008C5C65">
        <w:rPr>
          <w:rFonts w:cstheme="minorHAnsi"/>
        </w:rPr>
        <w:t>20</w:t>
      </w:r>
      <w:r w:rsidRPr="008C5C65">
        <w:rPr>
          <w:rFonts w:cstheme="minorHAnsi"/>
        </w:rPr>
        <w:t>. go</w:t>
      </w:r>
      <w:r w:rsidR="00F30F79" w:rsidRPr="008C5C65">
        <w:rPr>
          <w:rFonts w:cstheme="minorHAnsi"/>
        </w:rPr>
        <w:t>d</w:t>
      </w:r>
      <w:r w:rsidRPr="008C5C65">
        <w:rPr>
          <w:rFonts w:cstheme="minorHAnsi"/>
        </w:rPr>
        <w:t>ine iznosi</w:t>
      </w:r>
      <w:r w:rsidR="00F51B8D" w:rsidRPr="008C5C65">
        <w:rPr>
          <w:rFonts w:cstheme="minorHAnsi"/>
        </w:rPr>
        <w:t xml:space="preserve"> </w:t>
      </w:r>
      <w:r w:rsidR="008C5C65" w:rsidRPr="008C5C65">
        <w:rPr>
          <w:rFonts w:cstheme="minorHAnsi"/>
        </w:rPr>
        <w:t>152.809</w:t>
      </w:r>
      <w:r w:rsidR="00F51B8D" w:rsidRPr="008C5C65">
        <w:rPr>
          <w:rFonts w:cstheme="minorHAnsi"/>
        </w:rPr>
        <w:t xml:space="preserve"> </w:t>
      </w:r>
      <w:r w:rsidRPr="008C5C65">
        <w:rPr>
          <w:rFonts w:cstheme="minorHAnsi"/>
        </w:rPr>
        <w:t xml:space="preserve"> kn.</w:t>
      </w:r>
    </w:p>
    <w:p w14:paraId="0F7B0062" w14:textId="36156887" w:rsidR="0029271F" w:rsidRDefault="0029271F" w:rsidP="0029271F">
      <w:pPr>
        <w:pStyle w:val="Bezproreda"/>
      </w:pPr>
      <w:r>
        <w:t xml:space="preserve">Dionice  i udjei u trgovačkim društvima </w:t>
      </w:r>
      <w:r>
        <w:tab/>
      </w:r>
      <w:r>
        <w:tab/>
      </w:r>
      <w:r>
        <w:tab/>
      </w:r>
      <w:r>
        <w:tab/>
        <w:t xml:space="preserve">        20.000,00 kn </w:t>
      </w:r>
    </w:p>
    <w:p w14:paraId="6E57E1C0" w14:textId="004D1560" w:rsidR="0029271F" w:rsidRDefault="0029271F" w:rsidP="0029271F">
      <w:pPr>
        <w:pStyle w:val="Bezproreda"/>
      </w:pPr>
      <w:r>
        <w:t>(komunalno društvo Kijevo d.o.o.)</w:t>
      </w:r>
    </w:p>
    <w:p w14:paraId="2839A4FF" w14:textId="77777777" w:rsidR="0029271F" w:rsidRDefault="0029271F" w:rsidP="0029271F">
      <w:pPr>
        <w:pStyle w:val="Bezproreda"/>
      </w:pPr>
    </w:p>
    <w:p w14:paraId="41C404D3" w14:textId="2DCED276" w:rsidR="0029271F" w:rsidRPr="0029271F" w:rsidRDefault="0029271F" w:rsidP="0029271F">
      <w:pPr>
        <w:pStyle w:val="Bezproreda"/>
        <w:rPr>
          <w:b/>
          <w:bCs/>
        </w:rPr>
      </w:pPr>
      <w:r w:rsidRPr="0029271F">
        <w:t xml:space="preserve">POTRAŽIVANJA </w:t>
      </w:r>
      <w:r w:rsidRPr="0029271F">
        <w:rPr>
          <w:b/>
          <w:bCs/>
        </w:rPr>
        <w:t>:</w:t>
      </w:r>
    </w:p>
    <w:p w14:paraId="726CCA50" w14:textId="38372855" w:rsidR="0029271F" w:rsidRDefault="0029271F" w:rsidP="0029271F">
      <w:pPr>
        <w:pStyle w:val="Bezproreda"/>
      </w:pPr>
      <w:r>
        <w:t xml:space="preserve">-   Porezi na korištenje dobara i izvođenja aktivnosti </w:t>
      </w:r>
      <w:r>
        <w:tab/>
      </w:r>
      <w:r>
        <w:tab/>
      </w:r>
      <w:r>
        <w:tab/>
        <w:t>5.999,06  kn</w:t>
      </w:r>
    </w:p>
    <w:p w14:paraId="7446281A" w14:textId="1639C3AF" w:rsidR="0029271F" w:rsidRDefault="0029271F" w:rsidP="0029271F">
      <w:pPr>
        <w:pStyle w:val="Bezproreda"/>
      </w:pPr>
      <w:r w:rsidRPr="0029271F">
        <w:t xml:space="preserve"> -  </w:t>
      </w:r>
      <w:r>
        <w:t xml:space="preserve"> </w:t>
      </w:r>
      <w:r w:rsidRPr="0029271F">
        <w:t>Potraživanja od zakupa i iznajmljivanje imovine</w:t>
      </w:r>
      <w:r>
        <w:tab/>
      </w:r>
      <w:r>
        <w:tab/>
      </w:r>
      <w:r>
        <w:tab/>
        <w:t>18.841,12 kn</w:t>
      </w:r>
    </w:p>
    <w:p w14:paraId="33AF540E" w14:textId="43192F44" w:rsidR="0029271F" w:rsidRDefault="0029271F" w:rsidP="0029271F">
      <w:pPr>
        <w:pStyle w:val="Bezproreda"/>
      </w:pPr>
      <w:r>
        <w:t xml:space="preserve"> -   komunalni doprinosi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881,93 kn</w:t>
      </w:r>
    </w:p>
    <w:p w14:paraId="7DC90BEA" w14:textId="17F7682C" w:rsidR="0029271F" w:rsidRDefault="0029271F" w:rsidP="0029271F">
      <w:pPr>
        <w:pStyle w:val="Bezproreda"/>
      </w:pPr>
      <w:r>
        <w:t xml:space="preserve">-    komunalna naknada </w:t>
      </w:r>
      <w:r>
        <w:tab/>
      </w:r>
      <w:r>
        <w:tab/>
      </w:r>
      <w:r>
        <w:tab/>
      </w:r>
      <w:r>
        <w:tab/>
      </w:r>
      <w:r>
        <w:tab/>
        <w:t xml:space="preserve">              150.148,23 kn</w:t>
      </w:r>
    </w:p>
    <w:p w14:paraId="04E403F4" w14:textId="77777777" w:rsidR="0029271F" w:rsidRDefault="0029271F" w:rsidP="0029271F">
      <w:pPr>
        <w:pStyle w:val="Bezproreda"/>
      </w:pPr>
    </w:p>
    <w:p w14:paraId="690890FF" w14:textId="649F25DD" w:rsidR="0029271F" w:rsidRPr="0029271F" w:rsidRDefault="0029271F" w:rsidP="0029271F">
      <w:pPr>
        <w:pStyle w:val="Bezproreda"/>
      </w:pPr>
      <w:r w:rsidRPr="0029271F">
        <w:t>OBVEZE :</w:t>
      </w:r>
    </w:p>
    <w:p w14:paraId="1F458D74" w14:textId="64A1E73C" w:rsidR="0029271F" w:rsidRDefault="0029271F" w:rsidP="0029271F">
      <w:pPr>
        <w:pStyle w:val="Bezproreda"/>
        <w:numPr>
          <w:ilvl w:val="0"/>
          <w:numId w:val="4"/>
        </w:numPr>
      </w:pPr>
      <w:r>
        <w:t xml:space="preserve">Obveze za zaposlene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21.067,80 kn</w:t>
      </w:r>
    </w:p>
    <w:p w14:paraId="218CE8F0" w14:textId="77777777" w:rsidR="0029271F" w:rsidRDefault="0029271F" w:rsidP="0029271F">
      <w:pPr>
        <w:pStyle w:val="Bezproreda"/>
        <w:numPr>
          <w:ilvl w:val="0"/>
          <w:numId w:val="4"/>
        </w:numPr>
      </w:pPr>
      <w:r>
        <w:t>Materijalni rashodi</w:t>
      </w:r>
      <w:r>
        <w:tab/>
      </w:r>
      <w:r>
        <w:tab/>
      </w:r>
      <w:r>
        <w:tab/>
      </w:r>
      <w:r>
        <w:tab/>
      </w:r>
      <w:r>
        <w:tab/>
      </w:r>
      <w:r>
        <w:tab/>
        <w:t>91.318,93 kn</w:t>
      </w:r>
    </w:p>
    <w:p w14:paraId="106A4660" w14:textId="77777777" w:rsidR="0029271F" w:rsidRDefault="0029271F" w:rsidP="0029271F">
      <w:pPr>
        <w:pStyle w:val="Bezproreda"/>
        <w:numPr>
          <w:ilvl w:val="0"/>
          <w:numId w:val="4"/>
        </w:numPr>
      </w:pPr>
      <w:r>
        <w:t xml:space="preserve">Financijski rashodi </w:t>
      </w:r>
      <w:r>
        <w:tab/>
      </w:r>
      <w:r>
        <w:tab/>
      </w:r>
      <w:r>
        <w:tab/>
      </w:r>
      <w:r>
        <w:tab/>
      </w:r>
      <w:r>
        <w:tab/>
      </w:r>
      <w:r>
        <w:tab/>
        <w:t>19.084,66 kn</w:t>
      </w:r>
    </w:p>
    <w:p w14:paraId="277C5181" w14:textId="77777777" w:rsidR="0029271F" w:rsidRDefault="0029271F" w:rsidP="0029271F">
      <w:pPr>
        <w:pStyle w:val="Bezproreda"/>
        <w:numPr>
          <w:ilvl w:val="0"/>
          <w:numId w:val="4"/>
        </w:numPr>
      </w:pPr>
      <w:r>
        <w:t xml:space="preserve">Naknade građanima i kućanstvima </w:t>
      </w:r>
      <w:r>
        <w:tab/>
      </w:r>
      <w:r>
        <w:tab/>
      </w:r>
      <w:r>
        <w:tab/>
      </w:r>
      <w:r>
        <w:tab/>
        <w:t xml:space="preserve">      445,63 kn</w:t>
      </w:r>
    </w:p>
    <w:p w14:paraId="487C68C0" w14:textId="5B0ABF6D" w:rsidR="0029271F" w:rsidRDefault="0029271F" w:rsidP="0029271F">
      <w:pPr>
        <w:pStyle w:val="Bezproreda"/>
        <w:numPr>
          <w:ilvl w:val="0"/>
          <w:numId w:val="4"/>
        </w:numPr>
      </w:pPr>
      <w:r>
        <w:t xml:space="preserve">Ulaganja ma građevinskim  objektima </w:t>
      </w:r>
      <w:r>
        <w:tab/>
      </w:r>
      <w:r>
        <w:tab/>
      </w:r>
      <w:r>
        <w:tab/>
      </w:r>
      <w:r>
        <w:tab/>
        <w:t>69.943,75 kn</w:t>
      </w:r>
      <w:r>
        <w:tab/>
        <w:t xml:space="preserve">   </w:t>
      </w:r>
    </w:p>
    <w:p w14:paraId="78107FF1" w14:textId="77777777" w:rsidR="0029271F" w:rsidRDefault="0029271F" w:rsidP="0029271F">
      <w:pPr>
        <w:pStyle w:val="Bezproreda"/>
      </w:pPr>
    </w:p>
    <w:p w14:paraId="493AE8A4" w14:textId="77777777" w:rsidR="00A765A5" w:rsidRPr="008C5C65" w:rsidRDefault="00DD4E33" w:rsidP="00CC2CF6">
      <w:pPr>
        <w:jc w:val="center"/>
        <w:rPr>
          <w:rFonts w:cstheme="minorHAnsi"/>
          <w:b/>
        </w:rPr>
      </w:pPr>
      <w:r w:rsidRPr="008C5C65">
        <w:rPr>
          <w:rFonts w:cstheme="minorHAnsi"/>
          <w:b/>
        </w:rPr>
        <w:t>Čl</w:t>
      </w:r>
      <w:r w:rsidR="00A765A5" w:rsidRPr="008C5C65">
        <w:rPr>
          <w:rFonts w:cstheme="minorHAnsi"/>
          <w:b/>
        </w:rPr>
        <w:t xml:space="preserve">anak </w:t>
      </w:r>
      <w:r w:rsidR="008F10BC" w:rsidRPr="008C5C65">
        <w:rPr>
          <w:rFonts w:cstheme="minorHAnsi"/>
          <w:b/>
        </w:rPr>
        <w:t>5</w:t>
      </w:r>
      <w:r w:rsidR="00A765A5" w:rsidRPr="008C5C65">
        <w:rPr>
          <w:rFonts w:cstheme="minorHAnsi"/>
          <w:b/>
        </w:rPr>
        <w:t>.</w:t>
      </w:r>
    </w:p>
    <w:p w14:paraId="73FBCA52" w14:textId="7C3D7A80" w:rsidR="009A72EB" w:rsidRPr="008C5C65" w:rsidRDefault="00A765A5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Općina Kijevo se u razdoblju od 01.01.-30.06.20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>. godine,   na domaćem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tržištu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novca</w:t>
      </w:r>
      <w:r w:rsidR="00B86859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nije dodatno </w:t>
      </w:r>
      <w:r w:rsidR="00C855E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zadužila</w:t>
      </w:r>
      <w:r w:rsidR="009A72EB"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8D9777" w14:textId="7777777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6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5BF86474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332A721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Općina Kijevo nije u ovom izvještajnom razdoblju koristila proračunsku zalihu.</w:t>
      </w:r>
    </w:p>
    <w:p w14:paraId="294299E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16B829" w14:textId="77777777" w:rsidR="00C855EC" w:rsidRPr="008C5C65" w:rsidRDefault="00C855EC" w:rsidP="00CC2CF6">
      <w:pPr>
        <w:pStyle w:val="Default"/>
        <w:tabs>
          <w:tab w:val="left" w:pos="1234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k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1A3F229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DCCB5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nije u ovom izvještajnog razdoblju davala jamstva.</w:t>
      </w:r>
    </w:p>
    <w:p w14:paraId="4FF33656" w14:textId="77777777" w:rsidR="008F10BC" w:rsidRPr="008C5C65" w:rsidRDefault="008F10B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0786160" w14:textId="77777777" w:rsidR="00C855EC" w:rsidRPr="008C5C65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53C7B6F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58502D" w14:textId="69EA753D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lastRenderedPageBreak/>
        <w:t>Izvješće o ostvarenim prihodima i izdacima Proračuna Općine Kijevo za razdoblje sije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č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anj-lipanj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odine po vrstama </w:t>
      </w:r>
      <w:r w:rsidR="00C60E2C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prihoda i primitaka, odnosno rashoda i izdataka te po ekonomskoj, organizacijskoj i funkcijskoj klasifikaciji sastavni su dio Polugodišnjeg izvještaja o izvršenju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odinu.</w:t>
      </w:r>
    </w:p>
    <w:p w14:paraId="4308BC0B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22C8D7" w14:textId="77B0732C" w:rsidR="00C855EC" w:rsidRDefault="00C855EC" w:rsidP="00CC2CF6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Članak</w:t>
      </w:r>
      <w:r w:rsidR="00CC2CF6"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F10BC" w:rsidRPr="008C5C65"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6E7FA796" w14:textId="77777777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4D0A46" w14:textId="6545B76E" w:rsidR="00C855EC" w:rsidRPr="008C5C65" w:rsidRDefault="00C855EC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Polugodišnji izvještaj o izvršenju općeg i posebnog dijela proračuna općine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>ijevo za 20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odinu s usporednim podacima objaviti će se u 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„S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lužbenom </w:t>
      </w:r>
      <w:r w:rsidR="00DB51B2" w:rsidRPr="008C5C65">
        <w:rPr>
          <w:rFonts w:asciiTheme="minorHAnsi" w:hAnsiTheme="minorHAnsi" w:cstheme="minorHAnsi"/>
          <w:color w:val="auto"/>
          <w:sz w:val="22"/>
          <w:szCs w:val="22"/>
        </w:rPr>
        <w:t>glasilu općine Kijevo</w:t>
      </w:r>
      <w:r w:rsidR="00E04056" w:rsidRPr="008C5C65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08FDEBE" w14:textId="77777777" w:rsidR="00E04056" w:rsidRPr="008C5C65" w:rsidRDefault="00E04056" w:rsidP="00C855E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A610B85" w14:textId="58A78AF4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Klasa: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400-08/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0286C">
        <w:rPr>
          <w:rFonts w:asciiTheme="minorHAnsi" w:hAnsiTheme="minorHAnsi" w:cstheme="minorHAnsi"/>
          <w:color w:val="auto"/>
          <w:sz w:val="22"/>
          <w:szCs w:val="22"/>
        </w:rPr>
        <w:t>01/20</w:t>
      </w:r>
    </w:p>
    <w:p w14:paraId="3803C7C1" w14:textId="14479BD7" w:rsidR="00E04FF3" w:rsidRPr="008C5C65" w:rsidRDefault="00E04FF3" w:rsidP="00E04F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Ur.broj: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>2182/15-01/</w:t>
      </w:r>
      <w:r w:rsidR="008C5C65" w:rsidRPr="008C5C65">
        <w:rPr>
          <w:rFonts w:asciiTheme="minorHAnsi" w:hAnsiTheme="minorHAnsi" w:cstheme="minorHAnsi"/>
          <w:color w:val="auto"/>
          <w:sz w:val="22"/>
          <w:szCs w:val="22"/>
        </w:rPr>
        <w:t>20</w:t>
      </w:r>
      <w:r w:rsidR="00FE2C12" w:rsidRPr="008C5C65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0286C">
        <w:rPr>
          <w:rFonts w:asciiTheme="minorHAnsi" w:hAnsiTheme="minorHAnsi" w:cstheme="minorHAnsi"/>
          <w:color w:val="auto"/>
          <w:sz w:val="22"/>
          <w:szCs w:val="22"/>
        </w:rPr>
        <w:t>04</w:t>
      </w:r>
    </w:p>
    <w:p w14:paraId="04131A2C" w14:textId="7BCE831C" w:rsidR="00E04FF3" w:rsidRPr="008C5C65" w:rsidRDefault="00E04FF3" w:rsidP="00A556E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>Kijevo</w:t>
      </w:r>
      <w:r w:rsidR="003E4E85" w:rsidRPr="008C5C6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0286C">
        <w:rPr>
          <w:rFonts w:asciiTheme="minorHAnsi" w:hAnsiTheme="minorHAnsi" w:cstheme="minorHAnsi"/>
          <w:color w:val="auto"/>
          <w:sz w:val="22"/>
          <w:szCs w:val="22"/>
        </w:rPr>
        <w:t>22.10.2020</w:t>
      </w:r>
      <w:r w:rsidR="00FC182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7DCA" w:rsidRPr="008C5C65">
        <w:rPr>
          <w:rFonts w:asciiTheme="minorHAnsi" w:hAnsiTheme="minorHAnsi" w:cstheme="minorHAnsi"/>
          <w:color w:val="auto"/>
          <w:sz w:val="22"/>
          <w:szCs w:val="22"/>
        </w:rPr>
        <w:t xml:space="preserve">. godine </w:t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556EC"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286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0286C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OPĆINSKO VIJEĆE</w:t>
      </w:r>
    </w:p>
    <w:p w14:paraId="6BDFC267" w14:textId="77777777" w:rsidR="00E04FF3" w:rsidRPr="008C5C65" w:rsidRDefault="00E04FF3" w:rsidP="0040286C">
      <w:pPr>
        <w:pStyle w:val="Default"/>
        <w:ind w:left="5664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OPĆINE KIJEVO </w:t>
      </w:r>
    </w:p>
    <w:p w14:paraId="0231E102" w14:textId="77777777" w:rsidR="00E04FF3" w:rsidRPr="008C5C65" w:rsidRDefault="00E04FF3" w:rsidP="00E04FF3">
      <w:pPr>
        <w:pStyle w:val="Default"/>
        <w:ind w:left="4248" w:firstLine="708"/>
        <w:rPr>
          <w:rFonts w:asciiTheme="minorHAnsi" w:hAnsiTheme="minorHAnsi" w:cstheme="minorHAnsi"/>
          <w:color w:val="auto"/>
          <w:sz w:val="22"/>
          <w:szCs w:val="22"/>
        </w:rPr>
      </w:pPr>
    </w:p>
    <w:p w14:paraId="4E91B94E" w14:textId="77777777" w:rsidR="00E04FF3" w:rsidRPr="008C5C65" w:rsidRDefault="00E04FF3" w:rsidP="00E04FF3">
      <w:pPr>
        <w:pStyle w:val="Default"/>
        <w:ind w:left="4248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C5C65">
        <w:rPr>
          <w:rFonts w:asciiTheme="minorHAnsi" w:hAnsiTheme="minorHAnsi" w:cstheme="minorHAnsi"/>
          <w:b/>
          <w:color w:val="auto"/>
          <w:sz w:val="22"/>
          <w:szCs w:val="22"/>
        </w:rPr>
        <w:t>PREDSJEDNIK:</w:t>
      </w:r>
    </w:p>
    <w:p w14:paraId="477ECC4A" w14:textId="77777777" w:rsidR="00E04FF3" w:rsidRPr="00A556EC" w:rsidRDefault="00F962F6" w:rsidP="00F962F6">
      <w:pPr>
        <w:ind w:left="4956" w:firstLine="708"/>
        <w:jc w:val="center"/>
        <w:rPr>
          <w:rFonts w:cs="Times New Roman"/>
          <w:b/>
        </w:rPr>
      </w:pPr>
      <w:r w:rsidRPr="00A556EC">
        <w:rPr>
          <w:rFonts w:cs="Times New Roman"/>
          <w:b/>
        </w:rPr>
        <w:t>Martin Ercegovac v.r</w:t>
      </w:r>
    </w:p>
    <w:sectPr w:rsidR="00E04FF3" w:rsidRPr="00A556EC" w:rsidSect="00A9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7672D"/>
    <w:multiLevelType w:val="hybridMultilevel"/>
    <w:tmpl w:val="C55631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F98"/>
    <w:multiLevelType w:val="hybridMultilevel"/>
    <w:tmpl w:val="18EEB3DA"/>
    <w:lvl w:ilvl="0" w:tplc="53C065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C7F7C"/>
    <w:multiLevelType w:val="hybridMultilevel"/>
    <w:tmpl w:val="5A026D90"/>
    <w:lvl w:ilvl="0" w:tplc="9DF2C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03CB8"/>
    <w:multiLevelType w:val="hybridMultilevel"/>
    <w:tmpl w:val="40042C9E"/>
    <w:lvl w:ilvl="0" w:tplc="5F6AE5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C1"/>
    <w:rsid w:val="000172AC"/>
    <w:rsid w:val="000E52D6"/>
    <w:rsid w:val="00133B72"/>
    <w:rsid w:val="00143A16"/>
    <w:rsid w:val="00150A88"/>
    <w:rsid w:val="00173DA5"/>
    <w:rsid w:val="001755CD"/>
    <w:rsid w:val="001A4EE3"/>
    <w:rsid w:val="00247D24"/>
    <w:rsid w:val="00284B55"/>
    <w:rsid w:val="0029271F"/>
    <w:rsid w:val="002C77DE"/>
    <w:rsid w:val="00301DFF"/>
    <w:rsid w:val="00364EB2"/>
    <w:rsid w:val="003E4BC1"/>
    <w:rsid w:val="003E4E85"/>
    <w:rsid w:val="003F7A36"/>
    <w:rsid w:val="0040286C"/>
    <w:rsid w:val="00424316"/>
    <w:rsid w:val="0043438D"/>
    <w:rsid w:val="00464A96"/>
    <w:rsid w:val="00484739"/>
    <w:rsid w:val="004A1E7B"/>
    <w:rsid w:val="004C54DF"/>
    <w:rsid w:val="004F04CA"/>
    <w:rsid w:val="00576CC2"/>
    <w:rsid w:val="005E2BCF"/>
    <w:rsid w:val="006140D7"/>
    <w:rsid w:val="006313D0"/>
    <w:rsid w:val="00667999"/>
    <w:rsid w:val="00694AB4"/>
    <w:rsid w:val="006A12B7"/>
    <w:rsid w:val="006B73B7"/>
    <w:rsid w:val="006C2686"/>
    <w:rsid w:val="006E2DB8"/>
    <w:rsid w:val="00712568"/>
    <w:rsid w:val="007939CD"/>
    <w:rsid w:val="00796A8E"/>
    <w:rsid w:val="007B301C"/>
    <w:rsid w:val="007F5A04"/>
    <w:rsid w:val="00810D4C"/>
    <w:rsid w:val="008314B1"/>
    <w:rsid w:val="00852C61"/>
    <w:rsid w:val="00853801"/>
    <w:rsid w:val="008752BA"/>
    <w:rsid w:val="008C5C65"/>
    <w:rsid w:val="008F10BC"/>
    <w:rsid w:val="009A72EB"/>
    <w:rsid w:val="009A73EA"/>
    <w:rsid w:val="009B79F1"/>
    <w:rsid w:val="009E1481"/>
    <w:rsid w:val="00A168E5"/>
    <w:rsid w:val="00A2136D"/>
    <w:rsid w:val="00A346F3"/>
    <w:rsid w:val="00A556EC"/>
    <w:rsid w:val="00A64FFD"/>
    <w:rsid w:val="00A703D6"/>
    <w:rsid w:val="00A765A5"/>
    <w:rsid w:val="00A94EDA"/>
    <w:rsid w:val="00AD5EA7"/>
    <w:rsid w:val="00B77369"/>
    <w:rsid w:val="00B86859"/>
    <w:rsid w:val="00C00591"/>
    <w:rsid w:val="00C114D3"/>
    <w:rsid w:val="00C44271"/>
    <w:rsid w:val="00C60E2C"/>
    <w:rsid w:val="00C855EC"/>
    <w:rsid w:val="00CC2CF6"/>
    <w:rsid w:val="00D1632D"/>
    <w:rsid w:val="00D86934"/>
    <w:rsid w:val="00DA765E"/>
    <w:rsid w:val="00DB51B2"/>
    <w:rsid w:val="00DD4E33"/>
    <w:rsid w:val="00E04056"/>
    <w:rsid w:val="00E04FF3"/>
    <w:rsid w:val="00E40597"/>
    <w:rsid w:val="00E52236"/>
    <w:rsid w:val="00E82D25"/>
    <w:rsid w:val="00EC7DCA"/>
    <w:rsid w:val="00F0776A"/>
    <w:rsid w:val="00F20FFD"/>
    <w:rsid w:val="00F30F79"/>
    <w:rsid w:val="00F345AE"/>
    <w:rsid w:val="00F51B8D"/>
    <w:rsid w:val="00F962F6"/>
    <w:rsid w:val="00FC182A"/>
    <w:rsid w:val="00FE2C12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BB5E"/>
  <w15:docId w15:val="{316241D8-6FB1-4E6B-9413-646FEEF6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DA5"/>
    <w:pPr>
      <w:ind w:left="720"/>
      <w:contextualSpacing/>
    </w:pPr>
  </w:style>
  <w:style w:type="table" w:styleId="Reetkatablice">
    <w:name w:val="Table Grid"/>
    <w:basedOn w:val="Obinatablica"/>
    <w:uiPriority w:val="59"/>
    <w:rsid w:val="00173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8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55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Komunalno Drustvo Kijevo</cp:lastModifiedBy>
  <cp:revision>7</cp:revision>
  <cp:lastPrinted>2020-10-05T09:33:00Z</cp:lastPrinted>
  <dcterms:created xsi:type="dcterms:W3CDTF">2020-08-25T07:20:00Z</dcterms:created>
  <dcterms:modified xsi:type="dcterms:W3CDTF">2020-11-05T09:07:00Z</dcterms:modified>
</cp:coreProperties>
</file>